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387B1A95" w14:textId="77777777" w:rsidTr="00261DEE">
        <w:trPr>
          <w:cantSplit/>
          <w:trHeight w:val="851"/>
        </w:trPr>
        <w:tc>
          <w:tcPr>
            <w:tcW w:w="2203" w:type="dxa"/>
          </w:tcPr>
          <w:p w14:paraId="3D817227" w14:textId="78A984D3" w:rsidR="008978DE" w:rsidRPr="00D546F5" w:rsidRDefault="0042226C">
            <w:pPr>
              <w:jc w:val="center"/>
              <w:rPr>
                <w:rFonts w:ascii="Arial" w:hAnsi="Arial"/>
                <w:lang w:val="lv-LV"/>
              </w:rPr>
            </w:pPr>
            <w:r w:rsidRPr="0042226C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1A598286" wp14:editId="76F1097F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A0513B1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1FD138C2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5807F5" w:rsidRPr="00D546F5">
              <w:rPr>
                <w:noProof/>
                <w:lang w:val="en-US" w:eastAsia="en-US"/>
              </w:rPr>
              <w:drawing>
                <wp:inline distT="0" distB="0" distL="0" distR="0" wp14:anchorId="08640100" wp14:editId="7F870426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5B79121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E47985F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159157243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159157243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372997468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72997468"/>
    </w:p>
    <w:p w14:paraId="2BAD583E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2226C" w14:paraId="27341D1B" w14:textId="77777777" w:rsidTr="00872D7E">
        <w:tc>
          <w:tcPr>
            <w:tcW w:w="10207" w:type="dxa"/>
            <w:shd w:val="clear" w:color="auto" w:fill="D9D9D9"/>
          </w:tcPr>
          <w:p w14:paraId="341F134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802108893" w:edGrp="everyone"/>
      <w:tr w:rsidR="008978DE" w:rsidRPr="0042226C" w14:paraId="22DDE36D" w14:textId="77777777" w:rsidTr="00B023A6">
        <w:trPr>
          <w:cantSplit/>
          <w:trHeight w:val="345"/>
        </w:trPr>
        <w:tc>
          <w:tcPr>
            <w:tcW w:w="10207" w:type="dxa"/>
          </w:tcPr>
          <w:p w14:paraId="154D6E20" w14:textId="77777777" w:rsidR="00BA275F" w:rsidRPr="0042226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581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02108893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677205982" w:edGrp="everyone"/>
          <w:p w14:paraId="568688E1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623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77205982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23E15FB" w14:textId="77777777" w:rsidR="000751C3" w:rsidRPr="00D546F5" w:rsidRDefault="0079496C" w:rsidP="00CF45DC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4744F7" w:rsidRPr="004744F7">
              <w:rPr>
                <w:b/>
                <w:noProof/>
                <w:sz w:val="28"/>
                <w:szCs w:val="28"/>
                <w:lang w:val="lv-LV" w:eastAsia="lv-LV"/>
              </w:rPr>
              <w:t>Rokas lokmetinātājs (MMA)</w:t>
            </w:r>
          </w:p>
        </w:tc>
      </w:tr>
      <w:tr w:rsidR="008978DE" w:rsidRPr="00D546F5" w14:paraId="53558F57" w14:textId="77777777" w:rsidTr="0044241F">
        <w:trPr>
          <w:cantSplit/>
          <w:trHeight w:val="253"/>
        </w:trPr>
        <w:tc>
          <w:tcPr>
            <w:tcW w:w="10207" w:type="dxa"/>
          </w:tcPr>
          <w:p w14:paraId="356A8AA4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1468EDAD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2226C" w14:paraId="04C9507E" w14:textId="77777777" w:rsidTr="00872D7E">
        <w:tc>
          <w:tcPr>
            <w:tcW w:w="10207" w:type="dxa"/>
            <w:shd w:val="clear" w:color="auto" w:fill="D9D9D9"/>
          </w:tcPr>
          <w:p w14:paraId="1872BCFF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977873156" w:edGrp="everyone"/>
      <w:tr w:rsidR="008978DE" w:rsidRPr="00D546F5" w14:paraId="24A74943" w14:textId="77777777" w:rsidTr="00B023A6">
        <w:trPr>
          <w:trHeight w:val="341"/>
        </w:trPr>
        <w:tc>
          <w:tcPr>
            <w:tcW w:w="10207" w:type="dxa"/>
          </w:tcPr>
          <w:p w14:paraId="3A219AAF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040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7787315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565791509" w:edGrp="everyone"/>
          <w:p w14:paraId="36380C28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09065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65791509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F37398B" w14:textId="77777777" w:rsidR="00E90063" w:rsidRPr="00A90A0E" w:rsidRDefault="00E90063" w:rsidP="00AB72AF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44F7" w:rsidRPr="004744F7">
              <w:rPr>
                <w:b/>
                <w:sz w:val="28"/>
                <w:szCs w:val="28"/>
              </w:rPr>
              <w:t>Manual metal arc welder</w:t>
            </w:r>
            <w:r w:rsidR="004744F7">
              <w:rPr>
                <w:b/>
                <w:sz w:val="28"/>
                <w:szCs w:val="28"/>
              </w:rPr>
              <w:t xml:space="preserve">, </w:t>
            </w:r>
            <w:r w:rsidR="004744F7" w:rsidRPr="004744F7">
              <w:rPr>
                <w:b/>
                <w:sz w:val="28"/>
                <w:szCs w:val="28"/>
              </w:rPr>
              <w:t>Hand Arc Welder (MMA)</w:t>
            </w:r>
            <w:r w:rsidR="00A90A0E" w:rsidRPr="00A90A0E">
              <w:rPr>
                <w:b/>
                <w:sz w:val="28"/>
                <w:szCs w:val="28"/>
                <w:vertAlign w:val="superscript"/>
              </w:rPr>
              <w:t>**</w:t>
            </w:r>
          </w:p>
        </w:tc>
      </w:tr>
      <w:tr w:rsidR="008978DE" w:rsidRPr="00D546F5" w14:paraId="150A1773" w14:textId="77777777" w:rsidTr="00B023A6">
        <w:trPr>
          <w:trHeight w:val="213"/>
        </w:trPr>
        <w:tc>
          <w:tcPr>
            <w:tcW w:w="10207" w:type="dxa"/>
          </w:tcPr>
          <w:p w14:paraId="40B258EB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F3255B8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28B7202F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90F3D80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69772268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145A65E5" w14:textId="77777777" w:rsidR="004744F7" w:rsidRPr="004744F7" w:rsidRDefault="004744F7" w:rsidP="00AB72AF">
            <w:pPr>
              <w:jc w:val="both"/>
              <w:rPr>
                <w:strike/>
                <w:noProof/>
                <w:color w:val="FF0000"/>
                <w:lang w:val="lv-LV"/>
              </w:rPr>
            </w:pPr>
            <w:r w:rsidRPr="004744F7">
              <w:rPr>
                <w:noProof/>
                <w:lang w:val="lv-LV"/>
              </w:rPr>
              <w:t>Rokas lokmetinātājs (MMA) veic manuālās metināšanas darbus, izmantojot atbilstošas elektrolokmetināšanas iekārtas. Atbilstoši tehniskajiem dokumentiem izgatavo metālizstrādājumus un to konstrukcijas, veic montāžas un remonta darbus, izmantojot atbilstošas elektrolokmetināšanas iekārtas, materiā</w:t>
            </w:r>
            <w:r>
              <w:rPr>
                <w:noProof/>
                <w:lang w:val="lv-LV"/>
              </w:rPr>
              <w:t>lus un tehnoloģiskos paņēmienus</w:t>
            </w:r>
            <w:r w:rsidRPr="004744F7">
              <w:rPr>
                <w:noProof/>
                <w:lang w:val="lv-LV"/>
              </w:rPr>
              <w:t>, veic šuvju metināšanu un vizuālu kvalitātes pārbaudi.</w:t>
            </w:r>
          </w:p>
          <w:p w14:paraId="6B03CC38" w14:textId="77777777" w:rsidR="00A90A0E" w:rsidRPr="00A90A0E" w:rsidRDefault="00A90A0E" w:rsidP="004744F7">
            <w:pPr>
              <w:ind w:left="460"/>
              <w:jc w:val="both"/>
              <w:rPr>
                <w:lang w:val="lv-LV"/>
              </w:rPr>
            </w:pPr>
          </w:p>
          <w:p w14:paraId="0BBE6BDF" w14:textId="77777777" w:rsidR="00350A1C" w:rsidRPr="00F95651" w:rsidRDefault="00083313" w:rsidP="00422B11">
            <w:pPr>
              <w:jc w:val="both"/>
              <w:rPr>
                <w:color w:val="000000"/>
                <w:lang w:val="lv-LV"/>
              </w:rPr>
            </w:pPr>
            <w:r w:rsidRPr="00F95651">
              <w:rPr>
                <w:color w:val="000000"/>
                <w:lang w:val="lv-LV"/>
              </w:rPr>
              <w:t>Apguvis k</w:t>
            </w:r>
            <w:r w:rsidR="006F3449" w:rsidRPr="00F95651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233CF04D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  <w:r w:rsidRPr="004744F7">
              <w:rPr>
                <w:color w:val="000000"/>
                <w:lang w:val="lv-LV"/>
              </w:rPr>
              <w:t xml:space="preserve">  </w:t>
            </w:r>
            <w:r w:rsidRPr="004744F7">
              <w:rPr>
                <w:lang w:val="lv-LV"/>
              </w:rPr>
              <w:t xml:space="preserve">3.1. Darba aizsardzības noteikumu ievērošana: </w:t>
            </w:r>
          </w:p>
          <w:p w14:paraId="73DB8CD7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ievērot vispārējos darba aizsardzības noteikumus; </w:t>
            </w:r>
          </w:p>
          <w:p w14:paraId="48B71043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pārbaudīt iekārtas un aprīkojuma atbilstību darba aizsardzības prasībām; </w:t>
            </w:r>
          </w:p>
          <w:p w14:paraId="31F7B36E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pārbaudīt individuālo un kolektīvo aizsardzības līdzekļu atbilstību darba aizsardzības prasībām; </w:t>
            </w:r>
          </w:p>
          <w:p w14:paraId="06AB5BAE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lietot individuālos un kolektīvos aizsardzības līdzekļus; </w:t>
            </w:r>
          </w:p>
          <w:p w14:paraId="76E8D815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ievērot darba drošības zīmes un signālus; </w:t>
            </w:r>
          </w:p>
          <w:p w14:paraId="5DB68E78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ievērot elektrodrošības un ugunsdrošības noteikumus; </w:t>
            </w:r>
          </w:p>
          <w:p w14:paraId="3F8480B6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ievērot darba aizsardzības noteikumus, strādājot paaugstinātas bīstamības apstākļos; </w:t>
            </w:r>
          </w:p>
          <w:p w14:paraId="594AAE44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ievērot vides aizsardzības prasības; </w:t>
            </w:r>
          </w:p>
          <w:p w14:paraId="210C52FA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ievērot darba tiesisko attiecību prasības; </w:t>
            </w:r>
          </w:p>
          <w:p w14:paraId="70D8065A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savlaicīgi veikt obligātās veselības pārbaudes; </w:t>
            </w:r>
          </w:p>
          <w:p w14:paraId="2A789A1E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Pr="004744F7">
              <w:rPr>
                <w:lang w:val="lv-LV"/>
              </w:rPr>
              <w:t xml:space="preserve">darba procesā lietot sev un apkārtējiem nekaitīgus un drošus darba paņēmienus. </w:t>
            </w:r>
          </w:p>
          <w:p w14:paraId="6FBD2845" w14:textId="77777777" w:rsidR="004744F7" w:rsidRPr="004744F7" w:rsidRDefault="004744F7" w:rsidP="004744F7">
            <w:pPr>
              <w:tabs>
                <w:tab w:val="left" w:pos="1129"/>
              </w:tabs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ab/>
            </w:r>
          </w:p>
          <w:p w14:paraId="46BEC1D2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3.2. Iepazīšanās ar darba uzdevumu un tā tehnisko dokumentāciju: </w:t>
            </w:r>
          </w:p>
          <w:p w14:paraId="1F1E7EB7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iepazīties ar darba rasējumu; </w:t>
            </w:r>
          </w:p>
          <w:p w14:paraId="6FEFFBC2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lasīt metināšanas dokumentāciju, tajā skaitā metināšanas procesa tehnisko specifikāciju (WPS); </w:t>
            </w:r>
          </w:p>
          <w:p w14:paraId="649A340A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pieņemt lēmumu nestandarta situācijās; </w:t>
            </w:r>
          </w:p>
          <w:p w14:paraId="0ACB5980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izvēlēties nepieciešamo aprīkojuma kopumu. </w:t>
            </w:r>
          </w:p>
          <w:p w14:paraId="36352C43" w14:textId="77777777" w:rsidR="009B5736" w:rsidRPr="004744F7" w:rsidRDefault="009B5736" w:rsidP="004744F7">
            <w:pPr>
              <w:jc w:val="both"/>
              <w:rPr>
                <w:lang w:val="lv-LV"/>
              </w:rPr>
            </w:pPr>
          </w:p>
          <w:p w14:paraId="30EFD8FD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lastRenderedPageBreak/>
              <w:t xml:space="preserve">3.3. Detaļu sagatavošana metināšanai: </w:t>
            </w:r>
          </w:p>
          <w:p w14:paraId="7C6422CB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 tīrīt metināmās virsmas; </w:t>
            </w:r>
          </w:p>
          <w:p w14:paraId="2897D17D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sagatavot detaļas malas; </w:t>
            </w:r>
          </w:p>
          <w:p w14:paraId="634C791B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salikt un nostiprināt detaļas. </w:t>
            </w:r>
          </w:p>
          <w:p w14:paraId="07CEF2B4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</w:p>
          <w:p w14:paraId="29419A77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3.4. Metināšanas iekārtas un aprīkojuma sagatavošana darbam: </w:t>
            </w:r>
          </w:p>
          <w:p w14:paraId="54CF8E1D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sagatavot metināšanas iekārtu darbam; </w:t>
            </w:r>
          </w:p>
          <w:p w14:paraId="398BC1EE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iestatīt metināšanas režīmu; </w:t>
            </w:r>
          </w:p>
          <w:p w14:paraId="419BA7AB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sagatavot elektrodus metināšanai. </w:t>
            </w:r>
          </w:p>
          <w:p w14:paraId="0B7C2DA8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</w:p>
          <w:p w14:paraId="35F0340A" w14:textId="77777777" w:rsidR="004744F7" w:rsidRPr="004744F7" w:rsidRDefault="004744F7" w:rsidP="004744F7">
            <w:pPr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3.5. Metinātāja darbu veikšana: </w:t>
            </w:r>
          </w:p>
          <w:p w14:paraId="5B092B56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metināt šuves; </w:t>
            </w:r>
          </w:p>
          <w:p w14:paraId="09D07BEE" w14:textId="77777777" w:rsidR="004744F7" w:rsidRPr="004744F7" w:rsidRDefault="004744F7" w:rsidP="004744F7">
            <w:pPr>
              <w:ind w:firstLine="460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labot metināšanas defektus. </w:t>
            </w:r>
          </w:p>
          <w:p w14:paraId="1E2F0C57" w14:textId="77777777" w:rsidR="00A90A0E" w:rsidRPr="004744F7" w:rsidRDefault="00A90A0E" w:rsidP="00A90A0E">
            <w:pPr>
              <w:jc w:val="both"/>
              <w:rPr>
                <w:color w:val="000000"/>
                <w:u w:val="single"/>
                <w:lang w:val="lv-LV"/>
              </w:rPr>
            </w:pPr>
          </w:p>
          <w:p w14:paraId="0DF925E6" w14:textId="77777777" w:rsidR="004744F7" w:rsidRPr="004744F7" w:rsidRDefault="004744F7" w:rsidP="004744F7">
            <w:pPr>
              <w:ind w:left="-709" w:firstLine="709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3.6. Veiktā darba kvalitātes novērtēšana: </w:t>
            </w:r>
          </w:p>
          <w:p w14:paraId="2A2F9630" w14:textId="77777777" w:rsidR="004744F7" w:rsidRPr="004744F7" w:rsidRDefault="004744F7" w:rsidP="009B5736">
            <w:pPr>
              <w:ind w:left="-709" w:firstLine="1169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vizuāli novērtēt metinātās šuves; </w:t>
            </w:r>
          </w:p>
          <w:p w14:paraId="7EA17AA9" w14:textId="77777777" w:rsidR="004744F7" w:rsidRPr="004744F7" w:rsidRDefault="004744F7" w:rsidP="009B5736">
            <w:pPr>
              <w:ind w:left="-709" w:firstLine="1169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izvērtēt izstrādājuma ģeometriju pēc metināšanas. </w:t>
            </w:r>
          </w:p>
          <w:p w14:paraId="13EBB3B0" w14:textId="77777777" w:rsidR="004744F7" w:rsidRPr="004744F7" w:rsidRDefault="004744F7" w:rsidP="004744F7">
            <w:pPr>
              <w:ind w:left="-709" w:firstLine="709"/>
              <w:jc w:val="both"/>
              <w:rPr>
                <w:lang w:val="lv-LV"/>
              </w:rPr>
            </w:pPr>
          </w:p>
          <w:p w14:paraId="54591804" w14:textId="77777777" w:rsidR="004744F7" w:rsidRPr="004744F7" w:rsidRDefault="004744F7" w:rsidP="004744F7">
            <w:pPr>
              <w:ind w:left="-709" w:firstLine="709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3.7. Darba vietas un metināšanas iekārtas uzturēšana kārtībā: </w:t>
            </w:r>
          </w:p>
          <w:p w14:paraId="78FB2A51" w14:textId="77777777" w:rsidR="004744F7" w:rsidRPr="004744F7" w:rsidRDefault="004744F7" w:rsidP="009B5736">
            <w:pPr>
              <w:ind w:left="-709" w:firstLine="1169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 xml:space="preserve">- uzturēt metināšanas iekārtu darba kārtībā; </w:t>
            </w:r>
          </w:p>
          <w:p w14:paraId="56934F99" w14:textId="77777777" w:rsidR="004744F7" w:rsidRPr="004744F7" w:rsidRDefault="004744F7" w:rsidP="009B5736">
            <w:pPr>
              <w:ind w:left="-709" w:firstLine="1169"/>
              <w:jc w:val="both"/>
              <w:rPr>
                <w:lang w:val="lv-LV"/>
              </w:rPr>
            </w:pPr>
            <w:r w:rsidRPr="004744F7">
              <w:rPr>
                <w:lang w:val="lv-LV"/>
              </w:rPr>
              <w:t>- sakārtot darba vietu pirms un pēc darba.</w:t>
            </w:r>
          </w:p>
          <w:p w14:paraId="6C618941" w14:textId="77777777" w:rsidR="00515BCF" w:rsidRPr="00083313" w:rsidRDefault="00515BCF" w:rsidP="00515BCF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74DB794C" w14:textId="77777777" w:rsidR="00447FE4" w:rsidRPr="00F95651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645293263" w:edGrp="everyone"/>
            <w:r w:rsidRPr="00F95651">
              <w:rPr>
                <w:color w:val="000000"/>
                <w:lang w:val="lv-LV"/>
              </w:rPr>
              <w:t>Papildu kompetences:</w:t>
            </w:r>
          </w:p>
          <w:p w14:paraId="22C94E06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1FC307EF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181427CE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847C45B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645293263"/>
          </w:p>
          <w:p w14:paraId="5444AB94" w14:textId="77777777" w:rsidR="002B4530" w:rsidRPr="005323F7" w:rsidRDefault="002B4530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1A6FE13A" w14:textId="77777777" w:rsidR="009B5736" w:rsidRPr="00AD0235" w:rsidRDefault="009B5736" w:rsidP="00F95651">
      <w:pPr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42226C" w14:paraId="58B98945" w14:textId="77777777" w:rsidTr="00872D7E">
        <w:tc>
          <w:tcPr>
            <w:tcW w:w="10207" w:type="dxa"/>
            <w:shd w:val="clear" w:color="auto" w:fill="D9D9D9"/>
          </w:tcPr>
          <w:p w14:paraId="512021B2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42226C" w14:paraId="42FFE3BD" w14:textId="77777777" w:rsidTr="002E04ED">
        <w:trPr>
          <w:trHeight w:val="215"/>
        </w:trPr>
        <w:tc>
          <w:tcPr>
            <w:tcW w:w="10207" w:type="dxa"/>
          </w:tcPr>
          <w:p w14:paraId="60D41393" w14:textId="77777777" w:rsidR="00362BA6" w:rsidRPr="004744F7" w:rsidRDefault="004744F7" w:rsidP="00AB72AF">
            <w:pPr>
              <w:spacing w:before="120" w:after="120"/>
              <w:rPr>
                <w:noProof/>
                <w:lang w:val="lv-LV"/>
              </w:rPr>
            </w:pPr>
            <w:r w:rsidRPr="004744F7">
              <w:rPr>
                <w:noProof/>
                <w:lang w:val="lv-LV"/>
              </w:rPr>
              <w:t>Strādāt metālapstrādes un mašīnbūves nozares un citos uzņēmumos, kuros tiek veikti lokmetināšanas darbi, vai kā pašnodarbināta persona, vai individuālais komersants.</w:t>
            </w:r>
          </w:p>
        </w:tc>
      </w:tr>
      <w:tr w:rsidR="008978DE" w:rsidRPr="00872D7E" w14:paraId="7AB2596C" w14:textId="77777777" w:rsidTr="00A41A55">
        <w:trPr>
          <w:trHeight w:val="274"/>
        </w:trPr>
        <w:tc>
          <w:tcPr>
            <w:tcW w:w="10207" w:type="dxa"/>
          </w:tcPr>
          <w:p w14:paraId="6DD0B4BB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71D8F3A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2226C" w14:paraId="5DF6A8F0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40C7BD0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2226C" w14:paraId="75384A96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ABBD8E0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37BF378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77E3C86E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0B925069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953704701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2226C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953704701"/>
          </w:p>
        </w:tc>
        <w:tc>
          <w:tcPr>
            <w:tcW w:w="5103" w:type="dxa"/>
          </w:tcPr>
          <w:p w14:paraId="07237FA0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42226C" w14:paraId="164D28F8" w14:textId="77777777" w:rsidTr="003C241F">
        <w:trPr>
          <w:trHeight w:val="303"/>
        </w:trPr>
        <w:tc>
          <w:tcPr>
            <w:tcW w:w="5104" w:type="dxa"/>
          </w:tcPr>
          <w:p w14:paraId="788D23B6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99FF1C8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80B5873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2226C" w14:paraId="1BCA1060" w14:textId="77777777" w:rsidTr="00362BA6">
        <w:trPr>
          <w:trHeight w:val="274"/>
        </w:trPr>
        <w:tc>
          <w:tcPr>
            <w:tcW w:w="5104" w:type="dxa"/>
          </w:tcPr>
          <w:p w14:paraId="292968DE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4A8DE06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4D5A49B2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17CF9A4D" w14:textId="77777777" w:rsidTr="00BD270E">
        <w:trPr>
          <w:trHeight w:val="53"/>
        </w:trPr>
        <w:tc>
          <w:tcPr>
            <w:tcW w:w="5104" w:type="dxa"/>
          </w:tcPr>
          <w:p w14:paraId="31E2FD21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C15B50D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00772BC7" w14:textId="77777777" w:rsidTr="00A41A55">
        <w:trPr>
          <w:trHeight w:val="328"/>
        </w:trPr>
        <w:tc>
          <w:tcPr>
            <w:tcW w:w="5104" w:type="dxa"/>
          </w:tcPr>
          <w:p w14:paraId="125F4914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6C833438" w14:textId="77777777" w:rsidR="002B4530" w:rsidRPr="002B4530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69307295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693072954"/>
          </w:p>
        </w:tc>
      </w:tr>
      <w:tr w:rsidR="008978DE" w:rsidRPr="00D546F5" w14:paraId="36E3E8A7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6D72644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0B2ACB97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0612DE6" w14:textId="77777777" w:rsidR="00382158" w:rsidRPr="00846CD8" w:rsidRDefault="00382158" w:rsidP="00AB72AF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03D11D13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2226C" w14:paraId="456F4166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85524BE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lastRenderedPageBreak/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152205069" w:edGrp="everyone"/>
      <w:tr w:rsidR="00256EA9" w:rsidRPr="0042226C" w14:paraId="1F943679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82CBE9E" w14:textId="77777777" w:rsidR="00256EA9" w:rsidRPr="00F95651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637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5220506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95651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06768441" w:edGrp="everyone"/>
          <w:p w14:paraId="4799A810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3221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06768441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930381869" w:edGrp="everyone"/>
          <w:p w14:paraId="6CD14088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621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30381869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660890134" w:edGrp="everyone"/>
          <w:p w14:paraId="32A58FA0" w14:textId="77777777" w:rsidR="00256EA9" w:rsidRPr="00872D7E" w:rsidRDefault="00000000" w:rsidP="00AB72AF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2483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60890134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89872106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83CE76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8450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5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9872106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95651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F95651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2226C" w14:paraId="5C4CAE51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FA7CE0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B956AB4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78797023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787970233"/>
          <w:p w14:paraId="7E2B403F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3DEAA33A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35F7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04B9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80E553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2226C" w14:paraId="1A686EF6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CE7F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C398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85938612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85938612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464F98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94478750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944787502"/>
          </w:p>
        </w:tc>
      </w:tr>
      <w:tr w:rsidR="00966AC8" w:rsidRPr="00BA6FFE" w14:paraId="4F006B0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86D8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2DE24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5261958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4D0E477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75261958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CD99DD1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3445826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3884D0A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334458269"/>
          </w:p>
        </w:tc>
      </w:tr>
      <w:tr w:rsidR="00966AC8" w:rsidRPr="00BA6FFE" w14:paraId="668BCFF4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79349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97A2EE3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F658C5C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25C693B8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4E1DBBB5" w14:textId="77777777"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14:paraId="65B6DBA1" w14:textId="77777777" w:rsidR="00966AC8" w:rsidRPr="00AB72AF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33149744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37FBD522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532C537D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1CB5B2E9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7204" w14:textId="77777777" w:rsidR="009945ED" w:rsidRDefault="009945ED">
      <w:r>
        <w:separator/>
      </w:r>
    </w:p>
  </w:endnote>
  <w:endnote w:type="continuationSeparator" w:id="0">
    <w:p w14:paraId="06476382" w14:textId="77777777" w:rsidR="009945ED" w:rsidRDefault="009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58D2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14D">
      <w:rPr>
        <w:noProof/>
      </w:rPr>
      <w:t>2</w:t>
    </w:r>
    <w:r>
      <w:rPr>
        <w:noProof/>
      </w:rPr>
      <w:fldChar w:fldCharType="end"/>
    </w:r>
  </w:p>
  <w:p w14:paraId="1B6B19E0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BC33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A68B3BE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DC430E0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1A93EBB3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4744F7">
      <w:rPr>
        <w:bCs/>
        <w:sz w:val="16"/>
        <w:szCs w:val="16"/>
        <w:lang w:val="lv-LV"/>
      </w:rPr>
      <w:t xml:space="preserve"> no AIC datu bāzes</w:t>
    </w:r>
    <w:r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37C6024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9E0E" w14:textId="77777777" w:rsidR="009945ED" w:rsidRDefault="009945ED">
      <w:r>
        <w:separator/>
      </w:r>
    </w:p>
  </w:footnote>
  <w:footnote w:type="continuationSeparator" w:id="0">
    <w:p w14:paraId="504E010A" w14:textId="77777777" w:rsidR="009945ED" w:rsidRDefault="0099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4689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3250">
    <w:abstractNumId w:val="15"/>
  </w:num>
  <w:num w:numId="2" w16cid:durableId="540435195">
    <w:abstractNumId w:val="37"/>
  </w:num>
  <w:num w:numId="3" w16cid:durableId="1277903263">
    <w:abstractNumId w:val="35"/>
  </w:num>
  <w:num w:numId="4" w16cid:durableId="1246108488">
    <w:abstractNumId w:val="11"/>
  </w:num>
  <w:num w:numId="5" w16cid:durableId="1488783549">
    <w:abstractNumId w:val="29"/>
  </w:num>
  <w:num w:numId="6" w16cid:durableId="684286377">
    <w:abstractNumId w:val="32"/>
  </w:num>
  <w:num w:numId="7" w16cid:durableId="656226550">
    <w:abstractNumId w:val="43"/>
  </w:num>
  <w:num w:numId="8" w16cid:durableId="1134444168">
    <w:abstractNumId w:val="4"/>
  </w:num>
  <w:num w:numId="9" w16cid:durableId="1361511363">
    <w:abstractNumId w:val="8"/>
  </w:num>
  <w:num w:numId="10" w16cid:durableId="59602052">
    <w:abstractNumId w:val="7"/>
  </w:num>
  <w:num w:numId="11" w16cid:durableId="1356154907">
    <w:abstractNumId w:val="27"/>
  </w:num>
  <w:num w:numId="12" w16cid:durableId="762141296">
    <w:abstractNumId w:val="26"/>
  </w:num>
  <w:num w:numId="13" w16cid:durableId="377777427">
    <w:abstractNumId w:val="21"/>
  </w:num>
  <w:num w:numId="14" w16cid:durableId="1264799597">
    <w:abstractNumId w:val="20"/>
  </w:num>
  <w:num w:numId="15" w16cid:durableId="345710905">
    <w:abstractNumId w:val="17"/>
  </w:num>
  <w:num w:numId="16" w16cid:durableId="190730066">
    <w:abstractNumId w:val="23"/>
  </w:num>
  <w:num w:numId="17" w16cid:durableId="156118159">
    <w:abstractNumId w:val="31"/>
  </w:num>
  <w:num w:numId="18" w16cid:durableId="1659843074">
    <w:abstractNumId w:val="18"/>
  </w:num>
  <w:num w:numId="19" w16cid:durableId="436095097">
    <w:abstractNumId w:val="9"/>
  </w:num>
  <w:num w:numId="20" w16cid:durableId="91630771">
    <w:abstractNumId w:val="36"/>
  </w:num>
  <w:num w:numId="21" w16cid:durableId="1047921138">
    <w:abstractNumId w:val="33"/>
  </w:num>
  <w:num w:numId="22" w16cid:durableId="113064960">
    <w:abstractNumId w:val="3"/>
  </w:num>
  <w:num w:numId="23" w16cid:durableId="2061903805">
    <w:abstractNumId w:val="42"/>
  </w:num>
  <w:num w:numId="24" w16cid:durableId="1067386072">
    <w:abstractNumId w:val="24"/>
  </w:num>
  <w:num w:numId="25" w16cid:durableId="1541432348">
    <w:abstractNumId w:val="6"/>
  </w:num>
  <w:num w:numId="26" w16cid:durableId="1238397830">
    <w:abstractNumId w:val="2"/>
  </w:num>
  <w:num w:numId="27" w16cid:durableId="1524513073">
    <w:abstractNumId w:val="19"/>
  </w:num>
  <w:num w:numId="28" w16cid:durableId="1223171924">
    <w:abstractNumId w:val="45"/>
  </w:num>
  <w:num w:numId="29" w16cid:durableId="137654541">
    <w:abstractNumId w:val="44"/>
  </w:num>
  <w:num w:numId="30" w16cid:durableId="1389039182">
    <w:abstractNumId w:val="40"/>
  </w:num>
  <w:num w:numId="31" w16cid:durableId="2006782521">
    <w:abstractNumId w:val="34"/>
  </w:num>
  <w:num w:numId="32" w16cid:durableId="1353604395">
    <w:abstractNumId w:val="0"/>
  </w:num>
  <w:num w:numId="33" w16cid:durableId="960499235">
    <w:abstractNumId w:val="12"/>
  </w:num>
  <w:num w:numId="34" w16cid:durableId="867135131">
    <w:abstractNumId w:val="1"/>
  </w:num>
  <w:num w:numId="35" w16cid:durableId="1804695229">
    <w:abstractNumId w:val="16"/>
  </w:num>
  <w:num w:numId="36" w16cid:durableId="1953315599">
    <w:abstractNumId w:val="28"/>
  </w:num>
  <w:num w:numId="37" w16cid:durableId="1521506359">
    <w:abstractNumId w:val="39"/>
  </w:num>
  <w:num w:numId="38" w16cid:durableId="666635628">
    <w:abstractNumId w:val="25"/>
  </w:num>
  <w:num w:numId="39" w16cid:durableId="150567529">
    <w:abstractNumId w:val="22"/>
  </w:num>
  <w:num w:numId="40" w16cid:durableId="1533616612">
    <w:abstractNumId w:val="30"/>
  </w:num>
  <w:num w:numId="41" w16cid:durableId="1885634237">
    <w:abstractNumId w:val="5"/>
  </w:num>
  <w:num w:numId="42" w16cid:durableId="1922908586">
    <w:abstractNumId w:val="38"/>
  </w:num>
  <w:num w:numId="43" w16cid:durableId="1869023901">
    <w:abstractNumId w:val="10"/>
  </w:num>
  <w:num w:numId="44" w16cid:durableId="1119834640">
    <w:abstractNumId w:val="14"/>
  </w:num>
  <w:num w:numId="45" w16cid:durableId="44112989">
    <w:abstractNumId w:val="13"/>
  </w:num>
  <w:num w:numId="46" w16cid:durableId="6960802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+RF74fC7cfD9lwyI97ZyR+oazDG9+E13ztrzDym9nNKErgqk4N4OWqUYUdOXfpw7kxETk+xf73CAxGldDz7ew==" w:salt="EUjShBYReaiZBjtLVLEF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35BF3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C318D"/>
    <w:rsid w:val="001C5917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2A04"/>
    <w:rsid w:val="002869FD"/>
    <w:rsid w:val="002931A8"/>
    <w:rsid w:val="002A0A18"/>
    <w:rsid w:val="002A1990"/>
    <w:rsid w:val="002A3E1C"/>
    <w:rsid w:val="002A7D7B"/>
    <w:rsid w:val="002B4530"/>
    <w:rsid w:val="002C2CF3"/>
    <w:rsid w:val="002C30F7"/>
    <w:rsid w:val="002E04ED"/>
    <w:rsid w:val="00327751"/>
    <w:rsid w:val="00327A5F"/>
    <w:rsid w:val="00337C59"/>
    <w:rsid w:val="00350A1C"/>
    <w:rsid w:val="00362BA6"/>
    <w:rsid w:val="00364729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D15F0"/>
    <w:rsid w:val="003E50A3"/>
    <w:rsid w:val="003F49F2"/>
    <w:rsid w:val="004046B4"/>
    <w:rsid w:val="004151F4"/>
    <w:rsid w:val="0042226C"/>
    <w:rsid w:val="00422B11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44F7"/>
    <w:rsid w:val="00475630"/>
    <w:rsid w:val="0048202C"/>
    <w:rsid w:val="0048299F"/>
    <w:rsid w:val="004922E8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5BCF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07F5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54DF"/>
    <w:rsid w:val="006D63C3"/>
    <w:rsid w:val="006E791B"/>
    <w:rsid w:val="006F3449"/>
    <w:rsid w:val="00702F36"/>
    <w:rsid w:val="0070474B"/>
    <w:rsid w:val="0071014D"/>
    <w:rsid w:val="0072350A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945ED"/>
    <w:rsid w:val="009A021E"/>
    <w:rsid w:val="009B1194"/>
    <w:rsid w:val="009B37E5"/>
    <w:rsid w:val="009B5736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32C89"/>
    <w:rsid w:val="00A41A55"/>
    <w:rsid w:val="00A60676"/>
    <w:rsid w:val="00A6163C"/>
    <w:rsid w:val="00A62D1F"/>
    <w:rsid w:val="00A62EC9"/>
    <w:rsid w:val="00A7539B"/>
    <w:rsid w:val="00A81C7B"/>
    <w:rsid w:val="00A832F1"/>
    <w:rsid w:val="00A90A0E"/>
    <w:rsid w:val="00A960EA"/>
    <w:rsid w:val="00AB72AF"/>
    <w:rsid w:val="00AD0235"/>
    <w:rsid w:val="00AD6990"/>
    <w:rsid w:val="00AE62DE"/>
    <w:rsid w:val="00B023A6"/>
    <w:rsid w:val="00B1064A"/>
    <w:rsid w:val="00B14EE4"/>
    <w:rsid w:val="00B16AFE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13F83"/>
    <w:rsid w:val="00C27A6F"/>
    <w:rsid w:val="00C355FF"/>
    <w:rsid w:val="00C35CC4"/>
    <w:rsid w:val="00C42000"/>
    <w:rsid w:val="00C51CD2"/>
    <w:rsid w:val="00C562EE"/>
    <w:rsid w:val="00C56E76"/>
    <w:rsid w:val="00C65B15"/>
    <w:rsid w:val="00C82457"/>
    <w:rsid w:val="00C9037A"/>
    <w:rsid w:val="00C91A8A"/>
    <w:rsid w:val="00C92E87"/>
    <w:rsid w:val="00C965F0"/>
    <w:rsid w:val="00CA1DC0"/>
    <w:rsid w:val="00CB1736"/>
    <w:rsid w:val="00CB7408"/>
    <w:rsid w:val="00CE06E9"/>
    <w:rsid w:val="00CE68EB"/>
    <w:rsid w:val="00CF05DC"/>
    <w:rsid w:val="00CF34F9"/>
    <w:rsid w:val="00CF3F5B"/>
    <w:rsid w:val="00CF45DC"/>
    <w:rsid w:val="00D0121E"/>
    <w:rsid w:val="00D041C6"/>
    <w:rsid w:val="00D04705"/>
    <w:rsid w:val="00D07181"/>
    <w:rsid w:val="00D224A1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27DD"/>
    <w:rsid w:val="00DD7B40"/>
    <w:rsid w:val="00DE63F6"/>
    <w:rsid w:val="00DF0C36"/>
    <w:rsid w:val="00E241A9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873F2"/>
    <w:rsid w:val="00F93CCC"/>
    <w:rsid w:val="00F95651"/>
    <w:rsid w:val="00FA2642"/>
    <w:rsid w:val="00FA60EC"/>
    <w:rsid w:val="00FB319D"/>
    <w:rsid w:val="00FB7570"/>
    <w:rsid w:val="00FB7A7F"/>
    <w:rsid w:val="00FD6510"/>
    <w:rsid w:val="00FE5E8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EA1B5"/>
  <w15:docId w15:val="{F0F7A897-CEC2-4A98-9995-00C0BCCD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E18D-2250-4270-9C3F-918C55A6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6170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2022-12-19T10:06:00Z</dcterms:created>
  <dcterms:modified xsi:type="dcterms:W3CDTF">2022-12-19T10:06:00Z</dcterms:modified>
</cp:coreProperties>
</file>