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:rsidTr="00261DEE">
        <w:trPr>
          <w:cantSplit/>
          <w:trHeight w:val="851"/>
        </w:trPr>
        <w:tc>
          <w:tcPr>
            <w:tcW w:w="2203" w:type="dxa"/>
          </w:tcPr>
          <w:p w:rsidR="008978DE" w:rsidRPr="00D546F5" w:rsidRDefault="009F11CD">
            <w:pPr>
              <w:jc w:val="center"/>
              <w:rPr>
                <w:rFonts w:ascii="Arial" w:hAnsi="Arial"/>
                <w:lang w:val="lv-LV"/>
              </w:rPr>
            </w:pPr>
            <w:r w:rsidRPr="00D546F5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-2540</wp:posOffset>
                  </wp:positionV>
                  <wp:extent cx="1316355" cy="377825"/>
                  <wp:effectExtent l="0" t="0" r="0" b="3175"/>
                  <wp:wrapSquare wrapText="bothSides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377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9F11CD" w:rsidRPr="00D546F5">
              <w:rPr>
                <w:noProof/>
                <w:lang w:val="en-US" w:eastAsia="en-US"/>
              </w:rPr>
              <w:drawing>
                <wp:inline distT="0" distB="0" distL="0" distR="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684541172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684541172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979659423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979659423"/>
    </w:p>
    <w:p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362550276" w:edGrp="everyone"/>
      <w:tr w:rsidR="008978DE" w:rsidRPr="00D546F5" w:rsidTr="00B023A6">
        <w:trPr>
          <w:cantSplit/>
          <w:trHeight w:val="345"/>
        </w:trPr>
        <w:tc>
          <w:tcPr>
            <w:tcW w:w="10207" w:type="dxa"/>
          </w:tcPr>
          <w:p w:rsidR="00BA275F" w:rsidRPr="00F30147" w:rsidRDefault="00D408ED" w:rsidP="00A002BE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86480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C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62550276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357661026" w:edGrp="everyone"/>
          <w:p w:rsidR="008978DE" w:rsidRPr="00F30147" w:rsidRDefault="00D408ED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3067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C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57661026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0751C3" w:rsidRPr="00D546F5" w:rsidRDefault="0079496C" w:rsidP="00C355FF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C355FF">
              <w:rPr>
                <w:b/>
                <w:sz w:val="28"/>
                <w:szCs w:val="28"/>
                <w:lang w:val="lv-LV" w:eastAsia="lv-LV"/>
              </w:rPr>
              <w:t xml:space="preserve">Gaļas </w:t>
            </w:r>
            <w:r w:rsidR="00FC1B49">
              <w:rPr>
                <w:b/>
                <w:sz w:val="28"/>
                <w:szCs w:val="28"/>
                <w:lang w:val="lv-LV" w:eastAsia="lv-LV"/>
              </w:rPr>
              <w:t>produktu izgatavotājs</w:t>
            </w:r>
          </w:p>
        </w:tc>
      </w:tr>
      <w:tr w:rsidR="008978DE" w:rsidRPr="00D546F5" w:rsidTr="0044241F">
        <w:trPr>
          <w:cantSplit/>
          <w:trHeight w:val="253"/>
        </w:trPr>
        <w:tc>
          <w:tcPr>
            <w:tcW w:w="10207" w:type="dxa"/>
          </w:tcPr>
          <w:p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789338388" w:edGrp="everyone"/>
      <w:tr w:rsidR="008978DE" w:rsidRPr="00D546F5" w:rsidTr="00B023A6">
        <w:trPr>
          <w:trHeight w:val="341"/>
        </w:trPr>
        <w:tc>
          <w:tcPr>
            <w:tcW w:w="10207" w:type="dxa"/>
          </w:tcPr>
          <w:p w:rsidR="00BA275F" w:rsidRPr="00052AF1" w:rsidRDefault="00D408ED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8438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C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8933838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558726435" w:edGrp="everyone"/>
          <w:p w:rsidR="00D07181" w:rsidRPr="00052AF1" w:rsidRDefault="00D408ED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108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C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58726435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:rsidR="00E90063" w:rsidRPr="00052AF1" w:rsidRDefault="00E90063" w:rsidP="00C355FF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355FF">
              <w:rPr>
                <w:b/>
                <w:sz w:val="28"/>
                <w:szCs w:val="28"/>
              </w:rPr>
              <w:t xml:space="preserve">Meat </w:t>
            </w:r>
            <w:r w:rsidR="00FC1B49">
              <w:rPr>
                <w:b/>
                <w:sz w:val="28"/>
                <w:szCs w:val="28"/>
              </w:rPr>
              <w:t>products producer; Meat products manufacturer</w:t>
            </w:r>
            <w:r w:rsidR="00762F2F" w:rsidRPr="00775F50">
              <w:rPr>
                <w:b/>
                <w:sz w:val="28"/>
                <w:szCs w:val="28"/>
                <w:vertAlign w:val="superscript"/>
              </w:rPr>
              <w:t>**</w:t>
            </w:r>
          </w:p>
        </w:tc>
      </w:tr>
      <w:tr w:rsidR="008978DE" w:rsidRPr="00D546F5" w:rsidTr="00B023A6">
        <w:trPr>
          <w:trHeight w:val="213"/>
        </w:trPr>
        <w:tc>
          <w:tcPr>
            <w:tcW w:w="10207" w:type="dxa"/>
          </w:tcPr>
          <w:p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FC1B49" w:rsidRPr="00FC1B49" w:rsidRDefault="00FC1B49" w:rsidP="00FC1B49">
            <w:pPr>
              <w:jc w:val="both"/>
              <w:rPr>
                <w:lang w:val="lv-LV"/>
              </w:rPr>
            </w:pPr>
            <w:r w:rsidRPr="00FC1B49">
              <w:rPr>
                <w:lang w:val="lv-LV"/>
              </w:rPr>
              <w:t>Gaļas produktu izgatavotājs veic gaļas produktu izejvielu/ starpproduktu transportēšanas, ražošanas, iepakošanas un/ vai pēcapstrādes darbus.</w:t>
            </w:r>
          </w:p>
          <w:p w:rsidR="00F45DD0" w:rsidRPr="0028597E" w:rsidRDefault="00083313" w:rsidP="006F3449">
            <w:pPr>
              <w:spacing w:before="120" w:after="20"/>
              <w:jc w:val="both"/>
              <w:rPr>
                <w:color w:val="000000"/>
                <w:sz w:val="16"/>
                <w:szCs w:val="16"/>
                <w:lang w:val="lv-LV"/>
              </w:rPr>
            </w:pPr>
            <w:r w:rsidRPr="00BD174C">
              <w:rPr>
                <w:color w:val="000000"/>
                <w:lang w:val="lv-LV"/>
              </w:rPr>
              <w:t>Apguvis k</w:t>
            </w:r>
            <w:r w:rsidR="006F3449" w:rsidRPr="00BD174C">
              <w:rPr>
                <w:color w:val="000000"/>
                <w:lang w:val="lv-LV"/>
              </w:rPr>
              <w:t>ompetences šādu profesionālo pienākumu un uzdevumu veikšanai:</w:t>
            </w:r>
          </w:p>
          <w:p w:rsidR="00F45DD0" w:rsidRPr="00F45DD0" w:rsidRDefault="00F45DD0" w:rsidP="00F45DD0">
            <w:pPr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3.1. Pārtikas apriti reglamentējošo pamata normatīvo aktu zināšanas: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pārzināt pārtikas apriti reglamentējošo profesijas darbu pamata normatīvo aktu noteikumus;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zināt uzņēmuma noteiktās prasības gaļas produktu izgatavošanā;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saņemt apmācību par minimālajām higiēnas prasībām;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iegūt veselības apliecinājumu par tiesībām strādāt pārtikas uzņēmumā. </w:t>
            </w:r>
          </w:p>
          <w:p w:rsidR="00F45DD0" w:rsidRPr="00F45DD0" w:rsidRDefault="00F45DD0" w:rsidP="00F45DD0">
            <w:pPr>
              <w:jc w:val="both"/>
              <w:rPr>
                <w:lang w:val="lv-LV"/>
              </w:rPr>
            </w:pPr>
          </w:p>
          <w:p w:rsidR="00F45DD0" w:rsidRPr="00F45DD0" w:rsidRDefault="00F45DD0" w:rsidP="00F45DD0">
            <w:pPr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3.2. Sagatavošanas darbi gaļas produktu izgatavošanā: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iekārtot darba vietu;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iepazīties ar gaļas produktu izgatavošanas sortimentu un apjomu;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novērtēt gaļas, pārtikas piedevu un palīgmateriālu kvalitāti un daudzumu;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sagatavot darbam atbilstošas gaļas produktu izgatavošanas iekārtas, instrumentus un inventāru. </w:t>
            </w:r>
          </w:p>
          <w:p w:rsidR="00F45DD0" w:rsidRPr="00F45DD0" w:rsidRDefault="00F45DD0" w:rsidP="00F45DD0">
            <w:pPr>
              <w:jc w:val="both"/>
              <w:rPr>
                <w:lang w:val="lv-LV"/>
              </w:rPr>
            </w:pPr>
          </w:p>
          <w:p w:rsidR="00F45DD0" w:rsidRPr="00F45DD0" w:rsidRDefault="00F45DD0" w:rsidP="00F45DD0">
            <w:pPr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3.3. Gaļas produktu izgatavošana: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uzraudzīt un nodrošināt gaļas temperatūras atbilstību;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sterilizēt darba instrumentus;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uzraudzīt gaļas produktu un starpproduktu temperatūras atbilstību uzņēmuma noteiktajām prasībām;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ievērot gaļas produktu izgatavošanas higiēnas prasības, tai skaitā personīgās higiēnas prasības;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izgatavot gaļas produktus atbilstoši tehnoloģiskajām instrukcijām; </w:t>
            </w:r>
          </w:p>
          <w:p w:rsid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ievērot gaļas produktu izgatavošanas tehnoloģisko iekārtu ekspluatācijas noteikumus; </w:t>
            </w:r>
          </w:p>
          <w:p w:rsidR="00F45DD0" w:rsidRDefault="00F45DD0" w:rsidP="0028597E">
            <w:pPr>
              <w:ind w:firstLine="61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- </w:t>
            </w:r>
            <w:r w:rsidRPr="00F45DD0">
              <w:rPr>
                <w:lang w:val="lv-LV"/>
              </w:rPr>
              <w:t xml:space="preserve">nodrošināt gaļas, pārtikas piedevu, palīgmateriālu un citu resursu (ūdens, elektrība, gāze u.c.)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F45DD0">
              <w:rPr>
                <w:lang w:val="lv-LV"/>
              </w:rPr>
              <w:t xml:space="preserve">racionālu izlietojumu; </w:t>
            </w:r>
          </w:p>
          <w:p w:rsidR="00F45DD0" w:rsidRPr="00F45DD0" w:rsidRDefault="00F45DD0" w:rsidP="0028597E">
            <w:pPr>
              <w:ind w:firstLine="476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</w:t>
            </w:r>
            <w:r>
              <w:rPr>
                <w:lang w:val="lv-LV"/>
              </w:rPr>
              <w:t xml:space="preserve"> </w:t>
            </w:r>
            <w:r w:rsidRPr="00F45DD0">
              <w:rPr>
                <w:lang w:val="lv-LV"/>
              </w:rPr>
              <w:t xml:space="preserve">savākt pārtikā neizmantojamos dzīvnieku izcelsmes blakusproduktus atbilstošos konteineros vai tvertnēs; </w:t>
            </w:r>
          </w:p>
          <w:p w:rsidR="00F45DD0" w:rsidRPr="00F45DD0" w:rsidRDefault="00F45DD0" w:rsidP="0028597E">
            <w:pPr>
              <w:ind w:left="476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lastRenderedPageBreak/>
              <w:t xml:space="preserve">- </w:t>
            </w:r>
            <w:r>
              <w:rPr>
                <w:lang w:val="lv-LV"/>
              </w:rPr>
              <w:t xml:space="preserve"> </w:t>
            </w:r>
            <w:r w:rsidRPr="00F45DD0">
              <w:rPr>
                <w:lang w:val="lv-LV"/>
              </w:rPr>
              <w:t xml:space="preserve">tīrīt, mazgāt un dezinficēt darba vietu pēc gaļas produktu izgatavošanas saskaņā ar uzņēmuma paškontroles programmu. </w:t>
            </w:r>
          </w:p>
          <w:p w:rsidR="00F45DD0" w:rsidRPr="00F45DD0" w:rsidRDefault="00F45DD0" w:rsidP="00F45DD0">
            <w:pPr>
              <w:jc w:val="both"/>
              <w:rPr>
                <w:lang w:val="lv-LV"/>
              </w:rPr>
            </w:pPr>
          </w:p>
          <w:p w:rsidR="00F45DD0" w:rsidRPr="00F45DD0" w:rsidRDefault="00F45DD0" w:rsidP="00F45DD0">
            <w:pPr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3.4. Darba drošības un vides aizsardzības noteikumu ievērošana: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pārbaudīt darba apģērba atbilstību higiēnas un darba drošības prasībām;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pārbaudīt darba vietas atbilstību darba drošības prasībām;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pārbaudīt iekārtu, instrumentu un inventāra atbilstību darba drošības prasībām;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lietot individuālos aizsardzības līdzekļus;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ievērot drošības zīmes un signālus; </w:t>
            </w:r>
          </w:p>
          <w:p w:rsidR="00F45DD0" w:rsidRPr="00F45DD0" w:rsidRDefault="00F45DD0" w:rsidP="0028597E">
            <w:pPr>
              <w:ind w:firstLine="617"/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- ievērot elektrodrošības un ugunsdrošības noteikumus; </w:t>
            </w:r>
          </w:p>
          <w:p w:rsidR="00C355FF" w:rsidRPr="00F45DD0" w:rsidRDefault="00F45DD0" w:rsidP="0028597E">
            <w:pPr>
              <w:pStyle w:val="ListParagraph"/>
              <w:spacing w:after="0" w:line="240" w:lineRule="auto"/>
              <w:ind w:left="0" w:firstLine="617"/>
              <w:rPr>
                <w:rFonts w:ascii="Times New Roman" w:hAnsi="Times New Roman"/>
                <w:sz w:val="20"/>
                <w:szCs w:val="20"/>
              </w:rPr>
            </w:pPr>
            <w:r w:rsidRPr="00F45DD0">
              <w:rPr>
                <w:rFonts w:ascii="Times New Roman" w:hAnsi="Times New Roman"/>
                <w:sz w:val="20"/>
                <w:szCs w:val="20"/>
              </w:rPr>
              <w:t>- ievērot saistošās vides aizsardzības prasības.</w:t>
            </w:r>
          </w:p>
          <w:p w:rsidR="00212197" w:rsidRPr="00083313" w:rsidRDefault="00212197" w:rsidP="00212197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:rsidR="00447FE4" w:rsidRPr="00BD174C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253722519" w:edGrp="everyone"/>
            <w:r w:rsidRPr="00BD174C">
              <w:rPr>
                <w:color w:val="000000"/>
                <w:lang w:val="lv-LV"/>
              </w:rPr>
              <w:t>Papildu kompetences:</w:t>
            </w:r>
          </w:p>
          <w:p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="00876281">
              <w:rPr>
                <w:i/>
                <w:color w:val="1F3864"/>
                <w:lang w:val="lv-LV"/>
              </w:rPr>
              <w:t>a</w:t>
            </w:r>
            <w:r w:rsidRPr="007B2ACD">
              <w:rPr>
                <w:i/>
                <w:color w:val="1F3864"/>
                <w:lang w:val="lv-LV"/>
              </w:rPr>
              <w:t xml:space="preserve">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:rsidR="00B75CB3" w:rsidRPr="009F795F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253722519"/>
          </w:p>
          <w:p w:rsidR="00075434" w:rsidRPr="005323F7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872D7E" w:rsidTr="00872D7E">
        <w:tc>
          <w:tcPr>
            <w:tcW w:w="10207" w:type="dxa"/>
            <w:shd w:val="clear" w:color="auto" w:fill="D9D9D9"/>
          </w:tcPr>
          <w:p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872D7E" w:rsidTr="002E04ED">
        <w:trPr>
          <w:trHeight w:val="215"/>
        </w:trPr>
        <w:tc>
          <w:tcPr>
            <w:tcW w:w="10207" w:type="dxa"/>
          </w:tcPr>
          <w:p w:rsidR="00362BA6" w:rsidRPr="007453F3" w:rsidRDefault="007453F3" w:rsidP="00F45DD0">
            <w:pPr>
              <w:jc w:val="both"/>
              <w:rPr>
                <w:lang w:val="lv-LV"/>
              </w:rPr>
            </w:pPr>
            <w:r w:rsidRPr="00F45DD0">
              <w:rPr>
                <w:lang w:val="lv-LV"/>
              </w:rPr>
              <w:t xml:space="preserve">Strādāt </w:t>
            </w:r>
            <w:r w:rsidR="00F45DD0" w:rsidRPr="00F45DD0">
              <w:rPr>
                <w:lang w:val="lv-LV"/>
              </w:rPr>
              <w:t>gaļas produktu ražošanas vai mazumtirdzniecības uzņēmumos.</w:t>
            </w:r>
          </w:p>
        </w:tc>
      </w:tr>
      <w:tr w:rsidR="008978DE" w:rsidRPr="00872D7E" w:rsidTr="00A41A55">
        <w:trPr>
          <w:trHeight w:val="274"/>
        </w:trPr>
        <w:tc>
          <w:tcPr>
            <w:tcW w:w="10207" w:type="dxa"/>
          </w:tcPr>
          <w:p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D546F5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D546F5" w:rsidTr="00253E85"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:rsidTr="00A41A55">
        <w:trPr>
          <w:trHeight w:val="671"/>
        </w:trPr>
        <w:tc>
          <w:tcPr>
            <w:tcW w:w="5104" w:type="dxa"/>
            <w:shd w:val="clear" w:color="auto" w:fill="FFFFFF"/>
          </w:tcPr>
          <w:p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254889545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254889545"/>
          </w:p>
        </w:tc>
        <w:tc>
          <w:tcPr>
            <w:tcW w:w="5103" w:type="dxa"/>
          </w:tcPr>
          <w:p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7453F3" w:rsidRPr="004E41F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7453F3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3C241F" w:rsidTr="003C241F">
        <w:trPr>
          <w:trHeight w:val="303"/>
        </w:trPr>
        <w:tc>
          <w:tcPr>
            <w:tcW w:w="5104" w:type="dxa"/>
          </w:tcPr>
          <w:p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46CD8" w:rsidTr="00362BA6">
        <w:trPr>
          <w:trHeight w:val="274"/>
        </w:trPr>
        <w:tc>
          <w:tcPr>
            <w:tcW w:w="5104" w:type="dxa"/>
          </w:tcPr>
          <w:p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13262" w:rsidRPr="00846CD8">
              <w:rPr>
                <w:lang w:val="lv-LV"/>
              </w:rPr>
              <w:t>treša</w:t>
            </w:r>
            <w:r w:rsidR="00B40A5F" w:rsidRPr="00846CD8">
              <w:rPr>
                <w:lang w:val="lv-LV"/>
              </w:rPr>
              <w:t xml:space="preserve">jam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:rsidTr="00BD270E">
        <w:trPr>
          <w:trHeight w:val="53"/>
        </w:trPr>
        <w:tc>
          <w:tcPr>
            <w:tcW w:w="5104" w:type="dxa"/>
          </w:tcPr>
          <w:p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:rsidTr="00A41A55">
        <w:trPr>
          <w:trHeight w:val="328"/>
        </w:trPr>
        <w:tc>
          <w:tcPr>
            <w:tcW w:w="5104" w:type="dxa"/>
          </w:tcPr>
          <w:p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499333894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499333894"/>
          </w:p>
        </w:tc>
      </w:tr>
      <w:tr w:rsidR="008978DE" w:rsidRPr="00D546F5" w:rsidTr="00382158"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:rsidTr="00A41A55"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A6FFE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2099717829" w:edGrp="everyone"/>
      <w:tr w:rsidR="00256EA9" w:rsidRPr="00BA6FFE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BD174C" w:rsidRDefault="00D408ED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70876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C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99717829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BD174C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583798882" w:edGrp="everyone"/>
          <w:p w:rsidR="00256EA9" w:rsidRPr="00872D7E" w:rsidRDefault="00D408ED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201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7B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83798882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232610828" w:edGrp="everyone"/>
          <w:p w:rsidR="00256EA9" w:rsidRPr="00872D7E" w:rsidRDefault="00D408ED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073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C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32610828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986280908" w:edGrp="everyone"/>
          <w:p w:rsidR="00256EA9" w:rsidRPr="00872D7E" w:rsidRDefault="00D408ED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1434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C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986280908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855450086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872D7E" w:rsidRDefault="00D408ED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7813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CC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5545008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BD174C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BD174C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A832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000297592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000297592"/>
          <w:p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BA6FFE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39396824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39396824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24059911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240599113"/>
          </w:p>
        </w:tc>
      </w:tr>
      <w:tr w:rsidR="00966AC8" w:rsidRPr="00BA6FFE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01627276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01627276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66606136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666061368"/>
          </w:p>
        </w:tc>
      </w:tr>
      <w:tr w:rsidR="00966AC8" w:rsidRPr="00BA6FFE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832F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:rsidR="00083313" w:rsidRDefault="00D408ED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:rsidR="00083313" w:rsidRPr="00206636" w:rsidRDefault="00083313">
            <w:pPr>
              <w:rPr>
                <w:i/>
                <w:color w:val="000000"/>
                <w:lang w:val="lv-LV"/>
              </w:rPr>
            </w:pPr>
          </w:p>
          <w:p w:rsidR="00966AC8" w:rsidRDefault="00D408ED">
            <w:pPr>
              <w:rPr>
                <w:i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:rsidR="00B97E1D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  <w:p w:rsidR="00083313" w:rsidRPr="00206636" w:rsidRDefault="00083313" w:rsidP="00052AF1">
            <w:pPr>
              <w:spacing w:after="120"/>
              <w:rPr>
                <w:color w:val="000000"/>
                <w:lang w:val="lv-LV"/>
              </w:rPr>
            </w:pPr>
          </w:p>
        </w:tc>
      </w:tr>
    </w:tbl>
    <w:p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ED" w:rsidRDefault="00D408ED">
      <w:r>
        <w:separator/>
      </w:r>
    </w:p>
  </w:endnote>
  <w:endnote w:type="continuationSeparator" w:id="0">
    <w:p w:rsidR="00D408ED" w:rsidRDefault="00D4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27B6">
      <w:rPr>
        <w:noProof/>
      </w:rPr>
      <w:t>2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:rsidR="003C241F" w:rsidRPr="00762F2F" w:rsidRDefault="00762F2F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FC1B49">
      <w:rPr>
        <w:bCs/>
        <w:sz w:val="16"/>
        <w:szCs w:val="16"/>
        <w:lang w:val="lv-LV"/>
      </w:rPr>
      <w:t xml:space="preserve"> no AIC datu bāzes</w:t>
    </w:r>
    <w:r>
      <w:rPr>
        <w:bCs/>
        <w:sz w:val="16"/>
        <w:szCs w:val="16"/>
        <w:lang w:val="lv-LV"/>
      </w:rPr>
      <w:t xml:space="preserve">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</w:t>
    </w:r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ED" w:rsidRDefault="00D408ED">
      <w:r>
        <w:separator/>
      </w:r>
    </w:p>
  </w:footnote>
  <w:footnote w:type="continuationSeparator" w:id="0">
    <w:p w:rsidR="00D408ED" w:rsidRDefault="00D4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2E"/>
    <w:multiLevelType w:val="hybridMultilevel"/>
    <w:tmpl w:val="2948F71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513"/>
    <w:multiLevelType w:val="hybridMultilevel"/>
    <w:tmpl w:val="F01266E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58"/>
    <w:multiLevelType w:val="hybridMultilevel"/>
    <w:tmpl w:val="D5ACBD9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61E"/>
    <w:multiLevelType w:val="hybridMultilevel"/>
    <w:tmpl w:val="A61C1A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0A11B5"/>
    <w:multiLevelType w:val="hybridMultilevel"/>
    <w:tmpl w:val="E9120C68"/>
    <w:lvl w:ilvl="0" w:tplc="27263212">
      <w:start w:val="1"/>
      <w:numFmt w:val="bullet"/>
      <w:lvlText w:val="-"/>
      <w:lvlJc w:val="left"/>
      <w:pPr>
        <w:ind w:left="1463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21723F26"/>
    <w:multiLevelType w:val="hybridMultilevel"/>
    <w:tmpl w:val="BEDA2BB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70DC"/>
    <w:multiLevelType w:val="hybridMultilevel"/>
    <w:tmpl w:val="DEEA6E5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8758E5"/>
    <w:multiLevelType w:val="hybridMultilevel"/>
    <w:tmpl w:val="2D06C9AE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714D9"/>
    <w:multiLevelType w:val="hybridMultilevel"/>
    <w:tmpl w:val="D910C35A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4B23"/>
    <w:multiLevelType w:val="hybridMultilevel"/>
    <w:tmpl w:val="A3FC69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1715"/>
    <w:multiLevelType w:val="hybridMultilevel"/>
    <w:tmpl w:val="CB307D26"/>
    <w:lvl w:ilvl="0" w:tplc="753AB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CE35DC"/>
    <w:multiLevelType w:val="hybridMultilevel"/>
    <w:tmpl w:val="0176497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D654A9"/>
    <w:multiLevelType w:val="hybridMultilevel"/>
    <w:tmpl w:val="29A0609A"/>
    <w:lvl w:ilvl="0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B82322"/>
    <w:multiLevelType w:val="hybridMultilevel"/>
    <w:tmpl w:val="194CC748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D66"/>
    <w:multiLevelType w:val="multilevel"/>
    <w:tmpl w:val="F08A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35"/>
  </w:num>
  <w:num w:numId="4">
    <w:abstractNumId w:val="11"/>
  </w:num>
  <w:num w:numId="5">
    <w:abstractNumId w:val="29"/>
  </w:num>
  <w:num w:numId="6">
    <w:abstractNumId w:val="32"/>
  </w:num>
  <w:num w:numId="7">
    <w:abstractNumId w:val="43"/>
  </w:num>
  <w:num w:numId="8">
    <w:abstractNumId w:val="4"/>
  </w:num>
  <w:num w:numId="9">
    <w:abstractNumId w:val="8"/>
  </w:num>
  <w:num w:numId="10">
    <w:abstractNumId w:val="7"/>
  </w:num>
  <w:num w:numId="11">
    <w:abstractNumId w:val="27"/>
  </w:num>
  <w:num w:numId="12">
    <w:abstractNumId w:val="26"/>
  </w:num>
  <w:num w:numId="13">
    <w:abstractNumId w:val="21"/>
  </w:num>
  <w:num w:numId="14">
    <w:abstractNumId w:val="20"/>
  </w:num>
  <w:num w:numId="15">
    <w:abstractNumId w:val="17"/>
  </w:num>
  <w:num w:numId="16">
    <w:abstractNumId w:val="23"/>
  </w:num>
  <w:num w:numId="17">
    <w:abstractNumId w:val="31"/>
  </w:num>
  <w:num w:numId="18">
    <w:abstractNumId w:val="18"/>
  </w:num>
  <w:num w:numId="19">
    <w:abstractNumId w:val="9"/>
  </w:num>
  <w:num w:numId="20">
    <w:abstractNumId w:val="36"/>
  </w:num>
  <w:num w:numId="21">
    <w:abstractNumId w:val="33"/>
  </w:num>
  <w:num w:numId="22">
    <w:abstractNumId w:val="3"/>
  </w:num>
  <w:num w:numId="23">
    <w:abstractNumId w:val="42"/>
  </w:num>
  <w:num w:numId="24">
    <w:abstractNumId w:val="24"/>
  </w:num>
  <w:num w:numId="25">
    <w:abstractNumId w:val="6"/>
  </w:num>
  <w:num w:numId="26">
    <w:abstractNumId w:val="2"/>
  </w:num>
  <w:num w:numId="27">
    <w:abstractNumId w:val="19"/>
  </w:num>
  <w:num w:numId="28">
    <w:abstractNumId w:val="45"/>
  </w:num>
  <w:num w:numId="29">
    <w:abstractNumId w:val="44"/>
  </w:num>
  <w:num w:numId="30">
    <w:abstractNumId w:val="40"/>
  </w:num>
  <w:num w:numId="31">
    <w:abstractNumId w:val="34"/>
  </w:num>
  <w:num w:numId="32">
    <w:abstractNumId w:val="0"/>
  </w:num>
  <w:num w:numId="33">
    <w:abstractNumId w:val="12"/>
  </w:num>
  <w:num w:numId="34">
    <w:abstractNumId w:val="1"/>
  </w:num>
  <w:num w:numId="35">
    <w:abstractNumId w:val="16"/>
  </w:num>
  <w:num w:numId="36">
    <w:abstractNumId w:val="28"/>
  </w:num>
  <w:num w:numId="37">
    <w:abstractNumId w:val="39"/>
  </w:num>
  <w:num w:numId="38">
    <w:abstractNumId w:val="25"/>
  </w:num>
  <w:num w:numId="39">
    <w:abstractNumId w:val="22"/>
  </w:num>
  <w:num w:numId="40">
    <w:abstractNumId w:val="30"/>
  </w:num>
  <w:num w:numId="41">
    <w:abstractNumId w:val="5"/>
  </w:num>
  <w:num w:numId="42">
    <w:abstractNumId w:val="38"/>
  </w:num>
  <w:num w:numId="43">
    <w:abstractNumId w:val="10"/>
  </w:num>
  <w:num w:numId="44">
    <w:abstractNumId w:val="14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XwDs/FrfXWKuwuHfI6ujrJe/219G6xCYDV1CoSlRL1WF6N9boa6y7dtDX1MyfDJVVwhK5xR+4dc8qwRxzYOKQ==" w:salt="y29LwSboX9tld8MRIqo74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211F4"/>
    <w:rsid w:val="0002234C"/>
    <w:rsid w:val="00022F1F"/>
    <w:rsid w:val="00035BF3"/>
    <w:rsid w:val="000473AF"/>
    <w:rsid w:val="00052AF1"/>
    <w:rsid w:val="000751C3"/>
    <w:rsid w:val="00075434"/>
    <w:rsid w:val="000800ED"/>
    <w:rsid w:val="00083313"/>
    <w:rsid w:val="00094EC4"/>
    <w:rsid w:val="000C1860"/>
    <w:rsid w:val="000E2812"/>
    <w:rsid w:val="000E6826"/>
    <w:rsid w:val="000F4CB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C318D"/>
    <w:rsid w:val="001D4357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53E85"/>
    <w:rsid w:val="00256EA9"/>
    <w:rsid w:val="00260C78"/>
    <w:rsid w:val="00261DEE"/>
    <w:rsid w:val="00282A04"/>
    <w:rsid w:val="0028597E"/>
    <w:rsid w:val="002869FD"/>
    <w:rsid w:val="002931A8"/>
    <w:rsid w:val="002A0A18"/>
    <w:rsid w:val="002A1990"/>
    <w:rsid w:val="002A3E1C"/>
    <w:rsid w:val="002A7D7B"/>
    <w:rsid w:val="002C2CF3"/>
    <w:rsid w:val="002C30F7"/>
    <w:rsid w:val="002E04ED"/>
    <w:rsid w:val="00327751"/>
    <w:rsid w:val="00327A5F"/>
    <w:rsid w:val="00337C59"/>
    <w:rsid w:val="00350A1C"/>
    <w:rsid w:val="00362BA6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E50A3"/>
    <w:rsid w:val="004046B4"/>
    <w:rsid w:val="004151F4"/>
    <w:rsid w:val="00422C98"/>
    <w:rsid w:val="004240CF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75630"/>
    <w:rsid w:val="0048202C"/>
    <w:rsid w:val="0048299F"/>
    <w:rsid w:val="00494A04"/>
    <w:rsid w:val="004A18E1"/>
    <w:rsid w:val="004A7F93"/>
    <w:rsid w:val="004D01F8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323E"/>
    <w:rsid w:val="0053616F"/>
    <w:rsid w:val="00540A7F"/>
    <w:rsid w:val="00550DA1"/>
    <w:rsid w:val="00553BD3"/>
    <w:rsid w:val="00571CEC"/>
    <w:rsid w:val="00586E5B"/>
    <w:rsid w:val="005B0850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E791B"/>
    <w:rsid w:val="006F3449"/>
    <w:rsid w:val="0070474B"/>
    <w:rsid w:val="00723553"/>
    <w:rsid w:val="00736667"/>
    <w:rsid w:val="007453F3"/>
    <w:rsid w:val="00760DE4"/>
    <w:rsid w:val="00762D26"/>
    <w:rsid w:val="00762F2F"/>
    <w:rsid w:val="00774C08"/>
    <w:rsid w:val="00780A67"/>
    <w:rsid w:val="00790B4D"/>
    <w:rsid w:val="0079496C"/>
    <w:rsid w:val="007A0D0F"/>
    <w:rsid w:val="007A26F6"/>
    <w:rsid w:val="007B0255"/>
    <w:rsid w:val="007B28B4"/>
    <w:rsid w:val="007B2ACD"/>
    <w:rsid w:val="007B5F56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76281"/>
    <w:rsid w:val="008819F1"/>
    <w:rsid w:val="008826CC"/>
    <w:rsid w:val="008978DE"/>
    <w:rsid w:val="008A535B"/>
    <w:rsid w:val="008C0018"/>
    <w:rsid w:val="008C0A0D"/>
    <w:rsid w:val="008C3146"/>
    <w:rsid w:val="008C4286"/>
    <w:rsid w:val="008F5CC6"/>
    <w:rsid w:val="009018EC"/>
    <w:rsid w:val="00932772"/>
    <w:rsid w:val="00935FB3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62D2"/>
    <w:rsid w:val="009E1482"/>
    <w:rsid w:val="009E709B"/>
    <w:rsid w:val="009F11CD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60676"/>
    <w:rsid w:val="00A6163C"/>
    <w:rsid w:val="00A62D1F"/>
    <w:rsid w:val="00A62EC9"/>
    <w:rsid w:val="00A7539B"/>
    <w:rsid w:val="00A81C7B"/>
    <w:rsid w:val="00A832F1"/>
    <w:rsid w:val="00A960EA"/>
    <w:rsid w:val="00AD0235"/>
    <w:rsid w:val="00AD6990"/>
    <w:rsid w:val="00AE62DE"/>
    <w:rsid w:val="00AF27B6"/>
    <w:rsid w:val="00B023A6"/>
    <w:rsid w:val="00B1064A"/>
    <w:rsid w:val="00B14EE4"/>
    <w:rsid w:val="00B3516D"/>
    <w:rsid w:val="00B4024F"/>
    <w:rsid w:val="00B408CB"/>
    <w:rsid w:val="00B40A5F"/>
    <w:rsid w:val="00B54137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174C"/>
    <w:rsid w:val="00BD270E"/>
    <w:rsid w:val="00BE6377"/>
    <w:rsid w:val="00C00B29"/>
    <w:rsid w:val="00C13F83"/>
    <w:rsid w:val="00C27A6F"/>
    <w:rsid w:val="00C355FF"/>
    <w:rsid w:val="00C35CC4"/>
    <w:rsid w:val="00C42000"/>
    <w:rsid w:val="00C51CD2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B4848"/>
    <w:rsid w:val="00CB7408"/>
    <w:rsid w:val="00CE06E9"/>
    <w:rsid w:val="00CE68EB"/>
    <w:rsid w:val="00CF05DC"/>
    <w:rsid w:val="00CF34F9"/>
    <w:rsid w:val="00CF3F5B"/>
    <w:rsid w:val="00D0121E"/>
    <w:rsid w:val="00D041C6"/>
    <w:rsid w:val="00D04705"/>
    <w:rsid w:val="00D07181"/>
    <w:rsid w:val="00D224A1"/>
    <w:rsid w:val="00D408ED"/>
    <w:rsid w:val="00D413E1"/>
    <w:rsid w:val="00D546F5"/>
    <w:rsid w:val="00D56008"/>
    <w:rsid w:val="00D57F22"/>
    <w:rsid w:val="00D81C79"/>
    <w:rsid w:val="00D87A45"/>
    <w:rsid w:val="00D9213E"/>
    <w:rsid w:val="00DA5AFF"/>
    <w:rsid w:val="00DA6C91"/>
    <w:rsid w:val="00DC4277"/>
    <w:rsid w:val="00DC52FC"/>
    <w:rsid w:val="00DD27DD"/>
    <w:rsid w:val="00DD7B40"/>
    <w:rsid w:val="00DE63F6"/>
    <w:rsid w:val="00DF0C36"/>
    <w:rsid w:val="00E31ABC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D6B43"/>
    <w:rsid w:val="00EE5919"/>
    <w:rsid w:val="00EE5C9E"/>
    <w:rsid w:val="00EF2B02"/>
    <w:rsid w:val="00EF729E"/>
    <w:rsid w:val="00F004F9"/>
    <w:rsid w:val="00F043D8"/>
    <w:rsid w:val="00F0617D"/>
    <w:rsid w:val="00F22F34"/>
    <w:rsid w:val="00F27B84"/>
    <w:rsid w:val="00F30147"/>
    <w:rsid w:val="00F45DD0"/>
    <w:rsid w:val="00F51576"/>
    <w:rsid w:val="00F57297"/>
    <w:rsid w:val="00F64D3E"/>
    <w:rsid w:val="00F72B03"/>
    <w:rsid w:val="00F771A6"/>
    <w:rsid w:val="00F83E4A"/>
    <w:rsid w:val="00F873F2"/>
    <w:rsid w:val="00F93CCC"/>
    <w:rsid w:val="00FA2642"/>
    <w:rsid w:val="00FA60EC"/>
    <w:rsid w:val="00FB319D"/>
    <w:rsid w:val="00FB7570"/>
    <w:rsid w:val="00FB7A7F"/>
    <w:rsid w:val="00FC1B49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8D2497-31D2-4030-80CB-918D8E88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1662-DD0B-4052-B456-1DE0CB3F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5227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6132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Sarmite</cp:lastModifiedBy>
  <cp:revision>10</cp:revision>
  <cp:lastPrinted>2003-10-16T14:04:00Z</cp:lastPrinted>
  <dcterms:created xsi:type="dcterms:W3CDTF">2020-04-27T07:54:00Z</dcterms:created>
  <dcterms:modified xsi:type="dcterms:W3CDTF">2020-05-20T12:16:00Z</dcterms:modified>
</cp:coreProperties>
</file>